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01" w:rsidRPr="0054699D" w:rsidRDefault="00A27401" w:rsidP="00A27401">
      <w:pPr>
        <w:pStyle w:val="par1"/>
        <w:rPr>
          <w:b/>
          <w:bCs/>
        </w:rPr>
      </w:pPr>
      <w:bookmarkStart w:id="0" w:name="_GoBack"/>
      <w:bookmarkEnd w:id="0"/>
      <w:r w:rsidRPr="0054699D">
        <w:rPr>
          <w:b/>
          <w:bCs/>
        </w:rPr>
        <w:t>3.758.47</w:t>
      </w:r>
      <w:r w:rsidRPr="0054699D">
        <w:rPr>
          <w:b/>
          <w:bCs/>
        </w:rPr>
        <w:tab/>
        <w:t xml:space="preserve">Methodology for Calculating Heating Fuel Assistance Program Benefits [Rev. </w:t>
      </w:r>
      <w:proofErr w:type="gramStart"/>
      <w:r w:rsidRPr="0054699D">
        <w:rPr>
          <w:b/>
          <w:bCs/>
        </w:rPr>
        <w:t>eff</w:t>
      </w:r>
      <w:proofErr w:type="gramEnd"/>
      <w:r w:rsidRPr="0054699D">
        <w:rPr>
          <w:b/>
          <w:bCs/>
        </w:rPr>
        <w:t>. 11/1/15]</w:t>
      </w:r>
    </w:p>
    <w:p w:rsidR="00A27401" w:rsidRDefault="00A27401" w:rsidP="00A27401">
      <w:pPr>
        <w:pStyle w:val="upar1"/>
      </w:pPr>
      <w:r>
        <w:t>The payment amount for an eligible Heating Fuel Assistance Program household shall be determined in accordance with the following method:</w:t>
      </w:r>
    </w:p>
    <w:p w:rsidR="00A27401" w:rsidRDefault="00A27401" w:rsidP="00A27401">
      <w:pPr>
        <w:pStyle w:val="upar1"/>
      </w:pPr>
      <w:r w:rsidRPr="00AE2905">
        <w:rPr>
          <w:u w:val="single"/>
        </w:rPr>
        <w:t>Step A.</w:t>
      </w:r>
      <w:r>
        <w:t xml:space="preserve"> Determine Estimated Home Heating Costs (EHHC)</w:t>
      </w:r>
    </w:p>
    <w:p w:rsidR="00A27401" w:rsidRDefault="00A27401" w:rsidP="00A27401">
      <w:pPr>
        <w:pStyle w:val="upar2"/>
      </w:pPr>
      <w:r>
        <w:t>The county department/Contractor shall determine estimated home heating costs for November 1st through April 30th for the household's current residence at the time of application. The methodology for calculating estimated home heating costs is outlined below.</w:t>
      </w:r>
    </w:p>
    <w:p w:rsidR="00A27401" w:rsidRDefault="00A27401" w:rsidP="00A27401">
      <w:pPr>
        <w:pStyle w:val="upar2"/>
      </w:pPr>
      <w:r>
        <w:t>The county department/Contractor shall determine the applicant household's estimated home heating costs as follows:</w:t>
      </w:r>
    </w:p>
    <w:p w:rsidR="00A27401" w:rsidRDefault="00A27401" w:rsidP="00A27401">
      <w:pPr>
        <w:pStyle w:val="par2"/>
      </w:pPr>
      <w:r>
        <w:t>1.</w:t>
      </w:r>
      <w:r>
        <w:tab/>
        <w:t>An applicant household's estimated home heating cost shall consist of the total actual home heating costs for the primary heating fuel for November 1st through April 30th, of the prior year's heating season. Vendors serving applicant households shall be required to supply actual home heating costs for November 1st through April 30th of the prior year's heating season.</w:t>
      </w:r>
    </w:p>
    <w:p w:rsidR="00A27401" w:rsidRDefault="00A27401" w:rsidP="00A27401">
      <w:pPr>
        <w:pStyle w:val="par2"/>
        <w:spacing w:after="240"/>
      </w:pPr>
      <w:r>
        <w:t>2.</w:t>
      </w:r>
      <w:r>
        <w:tab/>
        <w:t>For any applicant whose home heating costs for the prior year's heating season are not available or determined by the county department to be invalid, the county department shall use the flat rate amount. The State Department shall adjust the flat rate amounts annually based on the average actual home heating costs found in the LEAP system by dwelling type for the prior year’s heating season contained in the following table:</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7"/>
        <w:gridCol w:w="1342"/>
        <w:gridCol w:w="1065"/>
        <w:gridCol w:w="1055"/>
        <w:gridCol w:w="991"/>
        <w:gridCol w:w="1256"/>
        <w:gridCol w:w="1438"/>
      </w:tblGrid>
      <w:tr w:rsidR="00A27401" w:rsidRPr="00AE2905" w:rsidTr="006A0FFB">
        <w:tc>
          <w:tcPr>
            <w:tcW w:w="1440" w:type="dxa"/>
            <w:shd w:val="clear" w:color="auto" w:fill="auto"/>
          </w:tcPr>
          <w:p w:rsidR="00A27401" w:rsidRPr="00AE2905" w:rsidRDefault="00A27401" w:rsidP="006A0FFB">
            <w:pPr>
              <w:spacing w:before="0"/>
            </w:pPr>
          </w:p>
        </w:tc>
        <w:tc>
          <w:tcPr>
            <w:tcW w:w="900" w:type="dxa"/>
            <w:shd w:val="clear" w:color="auto" w:fill="auto"/>
          </w:tcPr>
          <w:p w:rsidR="00A27401" w:rsidRPr="00AE2905" w:rsidRDefault="00A27401" w:rsidP="006A0FFB">
            <w:pPr>
              <w:spacing w:before="0"/>
            </w:pPr>
            <w:r w:rsidRPr="00AE2905">
              <w:t>NAT. GAS</w:t>
            </w:r>
          </w:p>
        </w:tc>
        <w:tc>
          <w:tcPr>
            <w:tcW w:w="1350" w:type="dxa"/>
            <w:shd w:val="clear" w:color="auto" w:fill="auto"/>
          </w:tcPr>
          <w:p w:rsidR="00A27401" w:rsidRPr="00AE2905" w:rsidRDefault="00A27401" w:rsidP="006A0FFB">
            <w:pPr>
              <w:spacing w:before="0"/>
            </w:pPr>
            <w:r w:rsidRPr="00AE2905">
              <w:t>PROPANE FUEL OIL</w:t>
            </w:r>
          </w:p>
        </w:tc>
        <w:tc>
          <w:tcPr>
            <w:tcW w:w="1080" w:type="dxa"/>
            <w:shd w:val="clear" w:color="auto" w:fill="auto"/>
          </w:tcPr>
          <w:p w:rsidR="00A27401" w:rsidRPr="00AE2905" w:rsidRDefault="00A27401" w:rsidP="006A0FFB">
            <w:pPr>
              <w:spacing w:before="0"/>
            </w:pPr>
            <w:r w:rsidRPr="00AE2905">
              <w:t>ELEC.</w:t>
            </w:r>
          </w:p>
        </w:tc>
        <w:tc>
          <w:tcPr>
            <w:tcW w:w="1066" w:type="dxa"/>
            <w:shd w:val="clear" w:color="auto" w:fill="auto"/>
          </w:tcPr>
          <w:p w:rsidR="00A27401" w:rsidRPr="00AE2905" w:rsidRDefault="00A27401" w:rsidP="006A0FFB">
            <w:pPr>
              <w:spacing w:before="0"/>
            </w:pPr>
            <w:r w:rsidRPr="00AE2905">
              <w:t>WOOD</w:t>
            </w:r>
          </w:p>
        </w:tc>
        <w:tc>
          <w:tcPr>
            <w:tcW w:w="1004" w:type="dxa"/>
            <w:shd w:val="clear" w:color="auto" w:fill="auto"/>
          </w:tcPr>
          <w:p w:rsidR="00A27401" w:rsidRPr="00AE2905" w:rsidRDefault="00A27401" w:rsidP="006A0FFB">
            <w:pPr>
              <w:spacing w:before="0"/>
            </w:pPr>
            <w:r w:rsidRPr="00AE2905">
              <w:t>COAL</w:t>
            </w:r>
          </w:p>
        </w:tc>
        <w:tc>
          <w:tcPr>
            <w:tcW w:w="1260" w:type="dxa"/>
            <w:shd w:val="clear" w:color="auto" w:fill="auto"/>
          </w:tcPr>
          <w:p w:rsidR="00A27401" w:rsidRPr="00AE2905" w:rsidRDefault="00A27401" w:rsidP="006A0FFB">
            <w:pPr>
              <w:spacing w:before="0"/>
            </w:pPr>
            <w:r w:rsidRPr="00AE2905">
              <w:t>PROPANE BOTTLES</w:t>
            </w:r>
          </w:p>
        </w:tc>
        <w:tc>
          <w:tcPr>
            <w:tcW w:w="1440" w:type="dxa"/>
            <w:shd w:val="clear" w:color="auto" w:fill="auto"/>
          </w:tcPr>
          <w:p w:rsidR="00A27401" w:rsidRPr="00AE2905" w:rsidRDefault="00A27401" w:rsidP="006A0FFB">
            <w:pPr>
              <w:spacing w:before="0"/>
            </w:pPr>
            <w:r w:rsidRPr="00AE2905">
              <w:t>WOOD GATHERING</w:t>
            </w:r>
          </w:p>
        </w:tc>
      </w:tr>
      <w:tr w:rsidR="00A27401" w:rsidRPr="00AE2905" w:rsidTr="006A0FFB">
        <w:tc>
          <w:tcPr>
            <w:tcW w:w="1440" w:type="dxa"/>
            <w:shd w:val="clear" w:color="auto" w:fill="auto"/>
          </w:tcPr>
          <w:p w:rsidR="00A27401" w:rsidRPr="00AE2905" w:rsidRDefault="00A27401" w:rsidP="006A0FFB">
            <w:pPr>
              <w:spacing w:before="0"/>
            </w:pPr>
            <w:r w:rsidRPr="00AE2905">
              <w:t>House, Mobile Home</w:t>
            </w:r>
          </w:p>
        </w:tc>
        <w:tc>
          <w:tcPr>
            <w:tcW w:w="900" w:type="dxa"/>
            <w:shd w:val="clear" w:color="auto" w:fill="auto"/>
          </w:tcPr>
          <w:p w:rsidR="00A27401" w:rsidRPr="00A9417E" w:rsidRDefault="00A27401" w:rsidP="006A0FFB">
            <w:pPr>
              <w:spacing w:before="0"/>
            </w:pPr>
            <w:r>
              <w:t>$342</w:t>
            </w:r>
          </w:p>
        </w:tc>
        <w:tc>
          <w:tcPr>
            <w:tcW w:w="1350" w:type="dxa"/>
            <w:shd w:val="clear" w:color="auto" w:fill="auto"/>
          </w:tcPr>
          <w:p w:rsidR="00A27401" w:rsidRPr="00A9417E" w:rsidRDefault="00A27401" w:rsidP="006A0FFB">
            <w:pPr>
              <w:spacing w:before="0"/>
            </w:pPr>
            <w:r>
              <w:t>$725</w:t>
            </w:r>
          </w:p>
        </w:tc>
        <w:tc>
          <w:tcPr>
            <w:tcW w:w="1080" w:type="dxa"/>
            <w:shd w:val="clear" w:color="auto" w:fill="auto"/>
          </w:tcPr>
          <w:p w:rsidR="00A27401" w:rsidRPr="00A9417E" w:rsidRDefault="00A27401" w:rsidP="006A0FFB">
            <w:pPr>
              <w:spacing w:before="0"/>
            </w:pPr>
            <w:r>
              <w:t>$980</w:t>
            </w:r>
          </w:p>
        </w:tc>
        <w:tc>
          <w:tcPr>
            <w:tcW w:w="1066" w:type="dxa"/>
            <w:shd w:val="clear" w:color="auto" w:fill="auto"/>
          </w:tcPr>
          <w:p w:rsidR="00A27401" w:rsidRPr="00A9417E" w:rsidRDefault="00A27401" w:rsidP="006A0FFB">
            <w:pPr>
              <w:spacing w:before="0"/>
            </w:pPr>
            <w:r>
              <w:t>$536</w:t>
            </w:r>
          </w:p>
        </w:tc>
        <w:tc>
          <w:tcPr>
            <w:tcW w:w="1004" w:type="dxa"/>
            <w:shd w:val="clear" w:color="auto" w:fill="auto"/>
          </w:tcPr>
          <w:p w:rsidR="00A27401" w:rsidRPr="00A9417E" w:rsidRDefault="00A27401" w:rsidP="006A0FFB">
            <w:pPr>
              <w:spacing w:before="0"/>
            </w:pPr>
            <w:r>
              <w:t>$575</w:t>
            </w:r>
          </w:p>
        </w:tc>
        <w:tc>
          <w:tcPr>
            <w:tcW w:w="1260" w:type="dxa"/>
            <w:shd w:val="clear" w:color="auto" w:fill="auto"/>
          </w:tcPr>
          <w:p w:rsidR="00A27401" w:rsidRPr="00A9417E" w:rsidRDefault="00A27401" w:rsidP="006A0FFB">
            <w:pPr>
              <w:spacing w:before="0"/>
            </w:pPr>
            <w:r>
              <w:t>$503</w:t>
            </w:r>
          </w:p>
        </w:tc>
        <w:tc>
          <w:tcPr>
            <w:tcW w:w="1440" w:type="dxa"/>
            <w:shd w:val="clear" w:color="auto" w:fill="auto"/>
          </w:tcPr>
          <w:p w:rsidR="00A27401" w:rsidRPr="00A9417E" w:rsidRDefault="00A27401" w:rsidP="006A0FFB">
            <w:pPr>
              <w:spacing w:before="0"/>
            </w:pPr>
            <w:r>
              <w:t>$300</w:t>
            </w:r>
          </w:p>
        </w:tc>
      </w:tr>
      <w:tr w:rsidR="00A27401" w:rsidRPr="00AE2905" w:rsidTr="006A0FFB">
        <w:tc>
          <w:tcPr>
            <w:tcW w:w="1440" w:type="dxa"/>
            <w:shd w:val="clear" w:color="auto" w:fill="auto"/>
          </w:tcPr>
          <w:p w:rsidR="00A27401" w:rsidRPr="00AE2905" w:rsidRDefault="00A27401" w:rsidP="006A0FFB">
            <w:pPr>
              <w:spacing w:before="0"/>
            </w:pPr>
            <w:r w:rsidRPr="00AE2905">
              <w:t xml:space="preserve">Duplex, Triplex, </w:t>
            </w:r>
            <w:proofErr w:type="spellStart"/>
            <w:r w:rsidRPr="00AE2905">
              <w:t>Fourplex</w:t>
            </w:r>
            <w:proofErr w:type="spellEnd"/>
            <w:r w:rsidRPr="00AE2905">
              <w:t>, Townhouse</w:t>
            </w:r>
          </w:p>
        </w:tc>
        <w:tc>
          <w:tcPr>
            <w:tcW w:w="900" w:type="dxa"/>
            <w:shd w:val="clear" w:color="auto" w:fill="auto"/>
          </w:tcPr>
          <w:p w:rsidR="00A27401" w:rsidRPr="00A9417E" w:rsidRDefault="00A27401" w:rsidP="006A0FFB">
            <w:pPr>
              <w:spacing w:before="0"/>
            </w:pPr>
            <w:r>
              <w:t>$280</w:t>
            </w:r>
          </w:p>
        </w:tc>
        <w:tc>
          <w:tcPr>
            <w:tcW w:w="1350" w:type="dxa"/>
            <w:shd w:val="clear" w:color="auto" w:fill="auto"/>
          </w:tcPr>
          <w:p w:rsidR="00A27401" w:rsidRDefault="00A27401" w:rsidP="006A0FFB">
            <w:pPr>
              <w:spacing w:before="0"/>
            </w:pPr>
            <w:r>
              <w:t>$552</w:t>
            </w:r>
          </w:p>
          <w:p w:rsidR="00A27401" w:rsidRPr="00CC6DC2" w:rsidRDefault="00A27401" w:rsidP="006A0FFB">
            <w:pPr>
              <w:jc w:val="center"/>
            </w:pPr>
          </w:p>
        </w:tc>
        <w:tc>
          <w:tcPr>
            <w:tcW w:w="1080" w:type="dxa"/>
            <w:shd w:val="clear" w:color="auto" w:fill="auto"/>
          </w:tcPr>
          <w:p w:rsidR="00A27401" w:rsidRPr="00A9417E" w:rsidRDefault="00A27401" w:rsidP="006A0FFB">
            <w:pPr>
              <w:spacing w:before="0"/>
            </w:pPr>
            <w:r>
              <w:t>$743</w:t>
            </w:r>
          </w:p>
        </w:tc>
        <w:tc>
          <w:tcPr>
            <w:tcW w:w="1066" w:type="dxa"/>
            <w:shd w:val="clear" w:color="auto" w:fill="auto"/>
          </w:tcPr>
          <w:p w:rsidR="00A27401" w:rsidRPr="00A9417E" w:rsidRDefault="00A27401" w:rsidP="006A0FFB">
            <w:pPr>
              <w:spacing w:before="0"/>
            </w:pPr>
            <w:r w:rsidRPr="00A9417E">
              <w:t>$614</w:t>
            </w:r>
          </w:p>
        </w:tc>
        <w:tc>
          <w:tcPr>
            <w:tcW w:w="1004" w:type="dxa"/>
            <w:shd w:val="clear" w:color="auto" w:fill="auto"/>
          </w:tcPr>
          <w:p w:rsidR="00A27401" w:rsidRPr="00A9417E" w:rsidRDefault="00A27401" w:rsidP="006A0FFB">
            <w:pPr>
              <w:spacing w:before="0"/>
            </w:pPr>
            <w:r w:rsidRPr="00A9417E">
              <w:t>$482</w:t>
            </w:r>
          </w:p>
        </w:tc>
        <w:tc>
          <w:tcPr>
            <w:tcW w:w="1260" w:type="dxa"/>
            <w:shd w:val="clear" w:color="auto" w:fill="auto"/>
          </w:tcPr>
          <w:p w:rsidR="00A27401" w:rsidRPr="00A9417E" w:rsidRDefault="00A27401" w:rsidP="006A0FFB">
            <w:pPr>
              <w:spacing w:before="0"/>
            </w:pPr>
            <w:r w:rsidRPr="00A9417E">
              <w:t>$341</w:t>
            </w:r>
          </w:p>
        </w:tc>
        <w:tc>
          <w:tcPr>
            <w:tcW w:w="1440" w:type="dxa"/>
            <w:shd w:val="clear" w:color="auto" w:fill="auto"/>
          </w:tcPr>
          <w:p w:rsidR="00A27401" w:rsidRPr="00A9417E" w:rsidRDefault="00A27401" w:rsidP="006A0FFB">
            <w:pPr>
              <w:spacing w:before="0"/>
            </w:pPr>
            <w:r w:rsidRPr="00A9417E">
              <w:t>$200</w:t>
            </w:r>
          </w:p>
        </w:tc>
      </w:tr>
      <w:tr w:rsidR="00A27401" w:rsidRPr="00AE2905" w:rsidTr="006A0FFB">
        <w:tc>
          <w:tcPr>
            <w:tcW w:w="1440" w:type="dxa"/>
            <w:shd w:val="clear" w:color="auto" w:fill="auto"/>
          </w:tcPr>
          <w:p w:rsidR="00A27401" w:rsidRPr="00AE2905" w:rsidRDefault="00A27401" w:rsidP="006A0FFB">
            <w:pPr>
              <w:spacing w:before="0"/>
            </w:pPr>
            <w:r w:rsidRPr="00AE2905">
              <w:t>Apartment, Condominium, Hotel, Cabin</w:t>
            </w:r>
            <w:r>
              <w:t>, TINY HOME</w:t>
            </w:r>
          </w:p>
        </w:tc>
        <w:tc>
          <w:tcPr>
            <w:tcW w:w="900" w:type="dxa"/>
            <w:shd w:val="clear" w:color="auto" w:fill="auto"/>
          </w:tcPr>
          <w:p w:rsidR="00A27401" w:rsidRPr="00A9417E" w:rsidRDefault="00A27401" w:rsidP="006A0FFB">
            <w:pPr>
              <w:spacing w:before="0"/>
            </w:pPr>
            <w:r>
              <w:t>$216</w:t>
            </w:r>
          </w:p>
        </w:tc>
        <w:tc>
          <w:tcPr>
            <w:tcW w:w="1350" w:type="dxa"/>
            <w:shd w:val="clear" w:color="auto" w:fill="auto"/>
          </w:tcPr>
          <w:p w:rsidR="00A27401" w:rsidRPr="00A9417E" w:rsidRDefault="00A27401" w:rsidP="006A0FFB">
            <w:pPr>
              <w:spacing w:before="0"/>
            </w:pPr>
            <w:r>
              <w:t>$712</w:t>
            </w:r>
          </w:p>
        </w:tc>
        <w:tc>
          <w:tcPr>
            <w:tcW w:w="1080" w:type="dxa"/>
            <w:shd w:val="clear" w:color="auto" w:fill="auto"/>
          </w:tcPr>
          <w:p w:rsidR="00A27401" w:rsidRPr="00A9417E" w:rsidRDefault="00A27401" w:rsidP="006A0FFB">
            <w:pPr>
              <w:spacing w:before="0"/>
            </w:pPr>
            <w:r>
              <w:t>$547</w:t>
            </w:r>
          </w:p>
        </w:tc>
        <w:tc>
          <w:tcPr>
            <w:tcW w:w="1066" w:type="dxa"/>
            <w:shd w:val="clear" w:color="auto" w:fill="auto"/>
          </w:tcPr>
          <w:p w:rsidR="00A27401" w:rsidRPr="00A9417E" w:rsidRDefault="00A27401" w:rsidP="006A0FFB">
            <w:pPr>
              <w:spacing w:before="0"/>
            </w:pPr>
            <w:r w:rsidRPr="00A9417E">
              <w:t>$594</w:t>
            </w:r>
          </w:p>
        </w:tc>
        <w:tc>
          <w:tcPr>
            <w:tcW w:w="1004" w:type="dxa"/>
            <w:shd w:val="clear" w:color="auto" w:fill="auto"/>
          </w:tcPr>
          <w:p w:rsidR="00A27401" w:rsidRPr="00A9417E" w:rsidRDefault="00A27401" w:rsidP="006A0FFB">
            <w:pPr>
              <w:spacing w:before="0"/>
            </w:pPr>
            <w:r w:rsidRPr="00A9417E">
              <w:t>$482</w:t>
            </w:r>
          </w:p>
        </w:tc>
        <w:tc>
          <w:tcPr>
            <w:tcW w:w="1260" w:type="dxa"/>
            <w:shd w:val="clear" w:color="auto" w:fill="auto"/>
          </w:tcPr>
          <w:p w:rsidR="00A27401" w:rsidRPr="007D201C" w:rsidRDefault="00A27401" w:rsidP="006A0FFB">
            <w:pPr>
              <w:spacing w:before="0"/>
              <w:rPr>
                <w:strike/>
              </w:rPr>
            </w:pPr>
            <w:r>
              <w:t>$237</w:t>
            </w:r>
            <w:r w:rsidRPr="007D201C">
              <w:rPr>
                <w:strike/>
              </w:rPr>
              <w:t xml:space="preserve"> </w:t>
            </w:r>
          </w:p>
        </w:tc>
        <w:tc>
          <w:tcPr>
            <w:tcW w:w="1440" w:type="dxa"/>
            <w:shd w:val="clear" w:color="auto" w:fill="auto"/>
          </w:tcPr>
          <w:p w:rsidR="00A27401" w:rsidRPr="00A9417E" w:rsidRDefault="00A27401" w:rsidP="006A0FFB">
            <w:pPr>
              <w:spacing w:before="0"/>
            </w:pPr>
            <w:r w:rsidRPr="00A9417E">
              <w:t>$200</w:t>
            </w:r>
          </w:p>
        </w:tc>
      </w:tr>
      <w:tr w:rsidR="00A27401" w:rsidRPr="00AE2905" w:rsidTr="006A0FFB">
        <w:tc>
          <w:tcPr>
            <w:tcW w:w="1440" w:type="dxa"/>
            <w:shd w:val="clear" w:color="auto" w:fill="auto"/>
          </w:tcPr>
          <w:p w:rsidR="00A27401" w:rsidRPr="00AE2905" w:rsidRDefault="00A27401" w:rsidP="006A0FFB">
            <w:pPr>
              <w:spacing w:before="0"/>
            </w:pPr>
            <w:r w:rsidRPr="00AE2905">
              <w:t>Camper, 5th Wheel, RV</w:t>
            </w:r>
          </w:p>
        </w:tc>
        <w:tc>
          <w:tcPr>
            <w:tcW w:w="900" w:type="dxa"/>
            <w:shd w:val="clear" w:color="auto" w:fill="auto"/>
          </w:tcPr>
          <w:p w:rsidR="00A27401" w:rsidRPr="00A9417E" w:rsidRDefault="00A27401" w:rsidP="006A0FFB">
            <w:pPr>
              <w:spacing w:before="0"/>
            </w:pPr>
            <w:r>
              <w:t>$301</w:t>
            </w:r>
          </w:p>
        </w:tc>
        <w:tc>
          <w:tcPr>
            <w:tcW w:w="1350" w:type="dxa"/>
            <w:shd w:val="clear" w:color="auto" w:fill="auto"/>
          </w:tcPr>
          <w:p w:rsidR="00A27401" w:rsidRPr="00A9417E" w:rsidRDefault="00A27401" w:rsidP="006A0FFB">
            <w:pPr>
              <w:spacing w:before="0"/>
            </w:pPr>
            <w:r>
              <w:t>$585</w:t>
            </w:r>
          </w:p>
        </w:tc>
        <w:tc>
          <w:tcPr>
            <w:tcW w:w="1080" w:type="dxa"/>
            <w:shd w:val="clear" w:color="auto" w:fill="auto"/>
          </w:tcPr>
          <w:p w:rsidR="00A27401" w:rsidRPr="00A9417E" w:rsidRDefault="00A27401" w:rsidP="006A0FFB">
            <w:pPr>
              <w:spacing w:before="0"/>
            </w:pPr>
            <w:r>
              <w:t>$665</w:t>
            </w:r>
          </w:p>
        </w:tc>
        <w:tc>
          <w:tcPr>
            <w:tcW w:w="1066" w:type="dxa"/>
            <w:shd w:val="clear" w:color="auto" w:fill="auto"/>
          </w:tcPr>
          <w:p w:rsidR="00A27401" w:rsidRPr="00A9417E" w:rsidRDefault="00A27401" w:rsidP="006A0FFB">
            <w:pPr>
              <w:spacing w:before="0"/>
            </w:pPr>
            <w:r w:rsidRPr="00A9417E">
              <w:t xml:space="preserve">$560 </w:t>
            </w:r>
          </w:p>
        </w:tc>
        <w:tc>
          <w:tcPr>
            <w:tcW w:w="1004" w:type="dxa"/>
            <w:shd w:val="clear" w:color="auto" w:fill="auto"/>
          </w:tcPr>
          <w:p w:rsidR="00A27401" w:rsidRPr="00A9417E" w:rsidRDefault="00A27401" w:rsidP="006A0FFB">
            <w:pPr>
              <w:spacing w:before="0"/>
            </w:pPr>
            <w:r w:rsidRPr="00A9417E">
              <w:t>$432</w:t>
            </w:r>
          </w:p>
        </w:tc>
        <w:tc>
          <w:tcPr>
            <w:tcW w:w="1260" w:type="dxa"/>
            <w:shd w:val="clear" w:color="auto" w:fill="auto"/>
          </w:tcPr>
          <w:p w:rsidR="00A27401" w:rsidRPr="00A9417E" w:rsidRDefault="00A27401" w:rsidP="006A0FFB">
            <w:pPr>
              <w:spacing w:before="0"/>
            </w:pPr>
            <w:r>
              <w:t>$335</w:t>
            </w:r>
          </w:p>
        </w:tc>
        <w:tc>
          <w:tcPr>
            <w:tcW w:w="1440" w:type="dxa"/>
            <w:shd w:val="clear" w:color="auto" w:fill="auto"/>
          </w:tcPr>
          <w:p w:rsidR="00A27401" w:rsidRPr="00A9417E" w:rsidRDefault="00A27401" w:rsidP="006A0FFB">
            <w:pPr>
              <w:spacing w:before="0"/>
            </w:pPr>
            <w:r w:rsidRPr="00A9417E">
              <w:t>$200</w:t>
            </w:r>
          </w:p>
        </w:tc>
      </w:tr>
    </w:tbl>
    <w:p w:rsidR="00A27401" w:rsidRDefault="00A27401" w:rsidP="00A27401">
      <w:pPr>
        <w:pStyle w:val="par2"/>
        <w:spacing w:after="240"/>
      </w:pPr>
      <w:r>
        <w:t>3.</w:t>
      </w:r>
      <w:r>
        <w:tab/>
        <w:t>The State Department shall adjust the standard rates for heating costs that are included in rent annually based on the flat rate amounts adjustment contained in the following table:</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260"/>
        <w:gridCol w:w="1350"/>
        <w:gridCol w:w="1440"/>
        <w:gridCol w:w="1080"/>
        <w:gridCol w:w="990"/>
      </w:tblGrid>
      <w:tr w:rsidR="00A27401" w:rsidRPr="00AE2905" w:rsidTr="006A0FFB">
        <w:tc>
          <w:tcPr>
            <w:tcW w:w="3420" w:type="dxa"/>
            <w:shd w:val="clear" w:color="auto" w:fill="auto"/>
          </w:tcPr>
          <w:p w:rsidR="00A27401" w:rsidRPr="00AE2905" w:rsidRDefault="00A27401" w:rsidP="006A0FFB">
            <w:pPr>
              <w:spacing w:before="0"/>
            </w:pPr>
          </w:p>
        </w:tc>
        <w:tc>
          <w:tcPr>
            <w:tcW w:w="1260" w:type="dxa"/>
            <w:shd w:val="clear" w:color="auto" w:fill="auto"/>
          </w:tcPr>
          <w:p w:rsidR="00A27401" w:rsidRPr="00AE2905" w:rsidRDefault="00A27401" w:rsidP="006A0FFB">
            <w:pPr>
              <w:spacing w:before="0"/>
            </w:pPr>
            <w:r w:rsidRPr="00AE2905">
              <w:t>NATURAL GAS</w:t>
            </w:r>
          </w:p>
        </w:tc>
        <w:tc>
          <w:tcPr>
            <w:tcW w:w="1350" w:type="dxa"/>
            <w:shd w:val="clear" w:color="auto" w:fill="auto"/>
          </w:tcPr>
          <w:p w:rsidR="00A27401" w:rsidRPr="00AE2905" w:rsidRDefault="00A27401" w:rsidP="006A0FFB">
            <w:pPr>
              <w:spacing w:before="0"/>
            </w:pPr>
            <w:r w:rsidRPr="00AE2905">
              <w:t>PROPANE FUEL OIL</w:t>
            </w:r>
          </w:p>
        </w:tc>
        <w:tc>
          <w:tcPr>
            <w:tcW w:w="1440" w:type="dxa"/>
            <w:shd w:val="clear" w:color="auto" w:fill="auto"/>
          </w:tcPr>
          <w:p w:rsidR="00A27401" w:rsidRPr="00AE2905" w:rsidRDefault="00A27401" w:rsidP="006A0FFB">
            <w:pPr>
              <w:spacing w:before="0"/>
            </w:pPr>
            <w:r w:rsidRPr="00AE2905">
              <w:t>ELECTRIC</w:t>
            </w:r>
          </w:p>
        </w:tc>
        <w:tc>
          <w:tcPr>
            <w:tcW w:w="1080" w:type="dxa"/>
            <w:shd w:val="clear" w:color="auto" w:fill="auto"/>
          </w:tcPr>
          <w:p w:rsidR="00A27401" w:rsidRPr="00AE2905" w:rsidRDefault="00A27401" w:rsidP="006A0FFB">
            <w:pPr>
              <w:spacing w:before="0"/>
            </w:pPr>
            <w:r w:rsidRPr="00AE2905">
              <w:t>WOOD</w:t>
            </w:r>
          </w:p>
        </w:tc>
        <w:tc>
          <w:tcPr>
            <w:tcW w:w="990" w:type="dxa"/>
            <w:shd w:val="clear" w:color="auto" w:fill="auto"/>
          </w:tcPr>
          <w:p w:rsidR="00A27401" w:rsidRPr="00AE2905" w:rsidRDefault="00A27401" w:rsidP="006A0FFB">
            <w:pPr>
              <w:spacing w:before="0"/>
            </w:pPr>
            <w:r w:rsidRPr="00AE2905">
              <w:t>COAL</w:t>
            </w:r>
          </w:p>
        </w:tc>
      </w:tr>
      <w:tr w:rsidR="00A27401" w:rsidRPr="00AE2905" w:rsidTr="006A0FFB">
        <w:tc>
          <w:tcPr>
            <w:tcW w:w="3420" w:type="dxa"/>
            <w:shd w:val="clear" w:color="auto" w:fill="auto"/>
          </w:tcPr>
          <w:p w:rsidR="00A27401" w:rsidRPr="00AE2905" w:rsidRDefault="00A27401" w:rsidP="006A0FFB">
            <w:pPr>
              <w:spacing w:before="0"/>
            </w:pPr>
            <w:r w:rsidRPr="00AE2905">
              <w:t>House, Mobile Home</w:t>
            </w:r>
          </w:p>
        </w:tc>
        <w:tc>
          <w:tcPr>
            <w:tcW w:w="1260" w:type="dxa"/>
            <w:shd w:val="clear" w:color="auto" w:fill="auto"/>
          </w:tcPr>
          <w:p w:rsidR="00A27401" w:rsidRPr="007713A1" w:rsidRDefault="00A27401" w:rsidP="006A0FFB">
            <w:pPr>
              <w:spacing w:before="0"/>
            </w:pPr>
            <w:r w:rsidRPr="007713A1">
              <w:t>$156</w:t>
            </w:r>
          </w:p>
        </w:tc>
        <w:tc>
          <w:tcPr>
            <w:tcW w:w="1350" w:type="dxa"/>
            <w:shd w:val="clear" w:color="auto" w:fill="auto"/>
          </w:tcPr>
          <w:p w:rsidR="00A27401" w:rsidRPr="007713A1" w:rsidRDefault="00A27401" w:rsidP="006A0FFB">
            <w:pPr>
              <w:spacing w:before="0"/>
            </w:pPr>
            <w:r w:rsidRPr="007713A1">
              <w:t>$310</w:t>
            </w:r>
          </w:p>
        </w:tc>
        <w:tc>
          <w:tcPr>
            <w:tcW w:w="1440" w:type="dxa"/>
            <w:shd w:val="clear" w:color="auto" w:fill="auto"/>
          </w:tcPr>
          <w:p w:rsidR="00A27401" w:rsidRPr="007713A1" w:rsidRDefault="00A27401" w:rsidP="006A0FFB">
            <w:pPr>
              <w:spacing w:before="0"/>
            </w:pPr>
            <w:r w:rsidRPr="007713A1">
              <w:t>$458</w:t>
            </w:r>
          </w:p>
        </w:tc>
        <w:tc>
          <w:tcPr>
            <w:tcW w:w="1080" w:type="dxa"/>
            <w:shd w:val="clear" w:color="auto" w:fill="auto"/>
          </w:tcPr>
          <w:p w:rsidR="00A27401" w:rsidRPr="007713A1" w:rsidRDefault="00A27401" w:rsidP="006A0FFB">
            <w:pPr>
              <w:spacing w:before="0"/>
            </w:pPr>
            <w:r w:rsidRPr="007713A1">
              <w:t>$241</w:t>
            </w:r>
          </w:p>
        </w:tc>
        <w:tc>
          <w:tcPr>
            <w:tcW w:w="990" w:type="dxa"/>
            <w:shd w:val="clear" w:color="auto" w:fill="auto"/>
          </w:tcPr>
          <w:p w:rsidR="00A27401" w:rsidRPr="007713A1" w:rsidRDefault="00A27401" w:rsidP="006A0FFB">
            <w:pPr>
              <w:spacing w:before="0"/>
            </w:pPr>
            <w:r w:rsidRPr="007713A1">
              <w:t>$193</w:t>
            </w:r>
          </w:p>
        </w:tc>
      </w:tr>
      <w:tr w:rsidR="00A27401" w:rsidRPr="00AE2905" w:rsidTr="006A0FFB">
        <w:tc>
          <w:tcPr>
            <w:tcW w:w="3420" w:type="dxa"/>
            <w:shd w:val="clear" w:color="auto" w:fill="auto"/>
          </w:tcPr>
          <w:p w:rsidR="00A27401" w:rsidRPr="00AE2905" w:rsidRDefault="00A27401" w:rsidP="006A0FFB">
            <w:pPr>
              <w:spacing w:before="0"/>
            </w:pPr>
            <w:r w:rsidRPr="00AE2905">
              <w:t xml:space="preserve">Duplex, Triplex, </w:t>
            </w:r>
            <w:proofErr w:type="spellStart"/>
            <w:r w:rsidRPr="00AE2905">
              <w:t>Fourplex</w:t>
            </w:r>
            <w:proofErr w:type="spellEnd"/>
            <w:r w:rsidRPr="00AE2905">
              <w:t>, Townhouse</w:t>
            </w:r>
          </w:p>
        </w:tc>
        <w:tc>
          <w:tcPr>
            <w:tcW w:w="1260" w:type="dxa"/>
            <w:shd w:val="clear" w:color="auto" w:fill="auto"/>
          </w:tcPr>
          <w:p w:rsidR="00A27401" w:rsidRPr="007713A1" w:rsidRDefault="00A27401" w:rsidP="006A0FFB">
            <w:pPr>
              <w:spacing w:before="0"/>
            </w:pPr>
            <w:r w:rsidRPr="007713A1">
              <w:t>$123</w:t>
            </w:r>
          </w:p>
        </w:tc>
        <w:tc>
          <w:tcPr>
            <w:tcW w:w="1350" w:type="dxa"/>
            <w:shd w:val="clear" w:color="auto" w:fill="auto"/>
          </w:tcPr>
          <w:p w:rsidR="00A27401" w:rsidRPr="007713A1" w:rsidRDefault="00A27401" w:rsidP="006A0FFB">
            <w:pPr>
              <w:spacing w:before="0"/>
            </w:pPr>
            <w:r w:rsidRPr="007713A1">
              <w:t>$243</w:t>
            </w:r>
          </w:p>
        </w:tc>
        <w:tc>
          <w:tcPr>
            <w:tcW w:w="1440" w:type="dxa"/>
            <w:shd w:val="clear" w:color="auto" w:fill="auto"/>
          </w:tcPr>
          <w:p w:rsidR="00A27401" w:rsidRPr="007713A1" w:rsidRDefault="00A27401" w:rsidP="006A0FFB">
            <w:pPr>
              <w:spacing w:before="0"/>
            </w:pPr>
            <w:r w:rsidRPr="007713A1">
              <w:t>$346</w:t>
            </w:r>
          </w:p>
        </w:tc>
        <w:tc>
          <w:tcPr>
            <w:tcW w:w="1080" w:type="dxa"/>
            <w:shd w:val="clear" w:color="auto" w:fill="auto"/>
          </w:tcPr>
          <w:p w:rsidR="00A27401" w:rsidRPr="007713A1" w:rsidRDefault="00A27401" w:rsidP="006A0FFB">
            <w:pPr>
              <w:spacing w:before="0"/>
            </w:pPr>
            <w:r w:rsidRPr="007713A1">
              <w:t>$246</w:t>
            </w:r>
          </w:p>
        </w:tc>
        <w:tc>
          <w:tcPr>
            <w:tcW w:w="990" w:type="dxa"/>
            <w:shd w:val="clear" w:color="auto" w:fill="auto"/>
          </w:tcPr>
          <w:p w:rsidR="00A27401" w:rsidRPr="007713A1" w:rsidRDefault="00A27401" w:rsidP="006A0FFB">
            <w:pPr>
              <w:spacing w:before="0"/>
            </w:pPr>
            <w:r w:rsidRPr="007713A1">
              <w:t>$193</w:t>
            </w:r>
          </w:p>
        </w:tc>
      </w:tr>
      <w:tr w:rsidR="00A27401" w:rsidRPr="00AE2905" w:rsidTr="006A0FFB">
        <w:tc>
          <w:tcPr>
            <w:tcW w:w="3420" w:type="dxa"/>
            <w:shd w:val="clear" w:color="auto" w:fill="auto"/>
          </w:tcPr>
          <w:p w:rsidR="00A27401" w:rsidRPr="00AE2905" w:rsidRDefault="00A27401" w:rsidP="006A0FFB">
            <w:pPr>
              <w:spacing w:before="0"/>
            </w:pPr>
            <w:r w:rsidRPr="00AE2905">
              <w:t xml:space="preserve">Apartment, Condominium, Hotel, </w:t>
            </w:r>
            <w:r>
              <w:t>Cabin, TINY HOME</w:t>
            </w:r>
          </w:p>
        </w:tc>
        <w:tc>
          <w:tcPr>
            <w:tcW w:w="1260" w:type="dxa"/>
            <w:shd w:val="clear" w:color="auto" w:fill="auto"/>
          </w:tcPr>
          <w:p w:rsidR="00A27401" w:rsidRPr="007713A1" w:rsidRDefault="00A27401" w:rsidP="006A0FFB">
            <w:pPr>
              <w:spacing w:before="0"/>
            </w:pPr>
            <w:r w:rsidRPr="007713A1">
              <w:t>$94</w:t>
            </w:r>
          </w:p>
        </w:tc>
        <w:tc>
          <w:tcPr>
            <w:tcW w:w="1350" w:type="dxa"/>
            <w:shd w:val="clear" w:color="auto" w:fill="auto"/>
          </w:tcPr>
          <w:p w:rsidR="00A27401" w:rsidRPr="007713A1" w:rsidRDefault="00A27401" w:rsidP="006A0FFB">
            <w:pPr>
              <w:spacing w:before="0"/>
            </w:pPr>
            <w:r w:rsidRPr="007713A1">
              <w:t>$245</w:t>
            </w:r>
          </w:p>
        </w:tc>
        <w:tc>
          <w:tcPr>
            <w:tcW w:w="1440" w:type="dxa"/>
            <w:shd w:val="clear" w:color="auto" w:fill="auto"/>
          </w:tcPr>
          <w:p w:rsidR="00A27401" w:rsidRPr="007713A1" w:rsidRDefault="00A27401" w:rsidP="006A0FFB">
            <w:pPr>
              <w:spacing w:before="0"/>
            </w:pPr>
            <w:r w:rsidRPr="007713A1">
              <w:t>$230</w:t>
            </w:r>
          </w:p>
        </w:tc>
        <w:tc>
          <w:tcPr>
            <w:tcW w:w="1080" w:type="dxa"/>
            <w:shd w:val="clear" w:color="auto" w:fill="auto"/>
          </w:tcPr>
          <w:p w:rsidR="00A27401" w:rsidRPr="007713A1" w:rsidRDefault="00A27401" w:rsidP="006A0FFB">
            <w:pPr>
              <w:spacing w:before="0"/>
            </w:pPr>
            <w:r w:rsidRPr="007713A1">
              <w:t>$238</w:t>
            </w:r>
          </w:p>
        </w:tc>
        <w:tc>
          <w:tcPr>
            <w:tcW w:w="990" w:type="dxa"/>
            <w:shd w:val="clear" w:color="auto" w:fill="auto"/>
          </w:tcPr>
          <w:p w:rsidR="00A27401" w:rsidRPr="007713A1" w:rsidRDefault="00A27401" w:rsidP="006A0FFB">
            <w:pPr>
              <w:spacing w:before="0"/>
            </w:pPr>
            <w:r w:rsidRPr="007713A1">
              <w:t>$193</w:t>
            </w:r>
          </w:p>
        </w:tc>
      </w:tr>
      <w:tr w:rsidR="00A27401" w:rsidRPr="00AE2905" w:rsidTr="006A0FFB">
        <w:tc>
          <w:tcPr>
            <w:tcW w:w="3420" w:type="dxa"/>
            <w:shd w:val="clear" w:color="auto" w:fill="auto"/>
          </w:tcPr>
          <w:p w:rsidR="00A27401" w:rsidRPr="00AE2905" w:rsidRDefault="00A27401" w:rsidP="006A0FFB">
            <w:pPr>
              <w:spacing w:before="0"/>
            </w:pPr>
            <w:r w:rsidRPr="00AE2905">
              <w:t>Camper, 5th Wheel, RV</w:t>
            </w:r>
          </w:p>
        </w:tc>
        <w:tc>
          <w:tcPr>
            <w:tcW w:w="1260" w:type="dxa"/>
            <w:shd w:val="clear" w:color="auto" w:fill="auto"/>
          </w:tcPr>
          <w:p w:rsidR="00A27401" w:rsidRPr="007713A1" w:rsidRDefault="00A27401" w:rsidP="006A0FFB">
            <w:pPr>
              <w:spacing w:before="0"/>
            </w:pPr>
            <w:r w:rsidRPr="007713A1">
              <w:t>$174</w:t>
            </w:r>
          </w:p>
        </w:tc>
        <w:tc>
          <w:tcPr>
            <w:tcW w:w="1350" w:type="dxa"/>
            <w:shd w:val="clear" w:color="auto" w:fill="auto"/>
          </w:tcPr>
          <w:p w:rsidR="00A27401" w:rsidRPr="007713A1" w:rsidRDefault="00A27401" w:rsidP="006A0FFB">
            <w:pPr>
              <w:spacing w:before="0"/>
            </w:pPr>
            <w:r w:rsidRPr="007713A1">
              <w:t xml:space="preserve">$252 </w:t>
            </w:r>
          </w:p>
        </w:tc>
        <w:tc>
          <w:tcPr>
            <w:tcW w:w="1440" w:type="dxa"/>
            <w:shd w:val="clear" w:color="auto" w:fill="auto"/>
          </w:tcPr>
          <w:p w:rsidR="00A27401" w:rsidRPr="007713A1" w:rsidRDefault="00A27401" w:rsidP="006A0FFB">
            <w:pPr>
              <w:spacing w:before="0"/>
            </w:pPr>
            <w:r w:rsidRPr="007713A1">
              <w:t>$323</w:t>
            </w:r>
          </w:p>
        </w:tc>
        <w:tc>
          <w:tcPr>
            <w:tcW w:w="1080" w:type="dxa"/>
            <w:shd w:val="clear" w:color="auto" w:fill="auto"/>
          </w:tcPr>
          <w:p w:rsidR="00A27401" w:rsidRPr="007713A1" w:rsidRDefault="00A27401" w:rsidP="006A0FFB">
            <w:pPr>
              <w:spacing w:before="0"/>
            </w:pPr>
            <w:r w:rsidRPr="007713A1">
              <w:t>$224</w:t>
            </w:r>
          </w:p>
        </w:tc>
        <w:tc>
          <w:tcPr>
            <w:tcW w:w="990" w:type="dxa"/>
            <w:shd w:val="clear" w:color="auto" w:fill="auto"/>
          </w:tcPr>
          <w:p w:rsidR="00A27401" w:rsidRPr="007713A1" w:rsidRDefault="00A27401" w:rsidP="006A0FFB">
            <w:pPr>
              <w:spacing w:before="0"/>
            </w:pPr>
            <w:r w:rsidRPr="007713A1">
              <w:t>$173</w:t>
            </w:r>
          </w:p>
        </w:tc>
      </w:tr>
    </w:tbl>
    <w:p w:rsidR="00A27401" w:rsidRDefault="00A27401" w:rsidP="00A27401"/>
    <w:p w:rsidR="00A27401" w:rsidRDefault="00A27401" w:rsidP="00A27401">
      <w:pPr>
        <w:pStyle w:val="upar1"/>
      </w:pPr>
      <w:r w:rsidRPr="00AE2905">
        <w:rPr>
          <w:u w:val="single"/>
        </w:rPr>
        <w:t>Step B.</w:t>
      </w:r>
      <w:r>
        <w:t xml:space="preserve"> Initial Statewide Adjustment</w:t>
      </w:r>
    </w:p>
    <w:p w:rsidR="00A27401" w:rsidRDefault="00A27401" w:rsidP="00A27401">
      <w:pPr>
        <w:pStyle w:val="upar2"/>
      </w:pPr>
      <w:r>
        <w:t>The State LEAP office will adjust benefit levels at the beginning of each LEAP program year based upon the projected number of leap applications to be received and the estimated level of funding. Annually, this calculation determines the percentage of the estimated home heating costs (EHHC) of the applicant household to be adjusted.</w:t>
      </w:r>
    </w:p>
    <w:p w:rsidR="00A27401" w:rsidRDefault="00A27401" w:rsidP="00A27401">
      <w:pPr>
        <w:pStyle w:val="upar1"/>
      </w:pPr>
      <w:r w:rsidRPr="00AE2905">
        <w:rPr>
          <w:u w:val="single"/>
        </w:rPr>
        <w:t>Step C.</w:t>
      </w:r>
      <w:r>
        <w:t xml:space="preserve"> Adjustment for Electric Heat</w:t>
      </w:r>
    </w:p>
    <w:p w:rsidR="00A27401" w:rsidRDefault="00A27401" w:rsidP="00A27401">
      <w:pPr>
        <w:pStyle w:val="upar2"/>
      </w:pPr>
      <w:r>
        <w:t>Households using electric heat will have their electric usage costs reduced to the percentage amounts listed below.</w:t>
      </w:r>
    </w:p>
    <w:tbl>
      <w:tblPr>
        <w:tblW w:w="6480" w:type="dxa"/>
        <w:tblInd w:w="1548" w:type="dxa"/>
        <w:tblLook w:val="04A0" w:firstRow="1" w:lastRow="0" w:firstColumn="1" w:lastColumn="0" w:noHBand="0" w:noVBand="1"/>
      </w:tblPr>
      <w:tblGrid>
        <w:gridCol w:w="4950"/>
        <w:gridCol w:w="1530"/>
      </w:tblGrid>
      <w:tr w:rsidR="00A27401" w:rsidRPr="00AE2905" w:rsidTr="006A0FFB">
        <w:tc>
          <w:tcPr>
            <w:tcW w:w="4950" w:type="dxa"/>
            <w:shd w:val="clear" w:color="auto" w:fill="auto"/>
          </w:tcPr>
          <w:p w:rsidR="00A27401" w:rsidRPr="001263DD" w:rsidRDefault="00A27401" w:rsidP="006A0FFB">
            <w:pPr>
              <w:rPr>
                <w:u w:val="single"/>
              </w:rPr>
            </w:pPr>
            <w:r w:rsidRPr="001263DD">
              <w:rPr>
                <w:u w:val="single"/>
              </w:rPr>
              <w:t>HEAT PORTION OF TOTAL ELECTRIC EHHC</w:t>
            </w:r>
          </w:p>
        </w:tc>
        <w:tc>
          <w:tcPr>
            <w:tcW w:w="1530" w:type="dxa"/>
            <w:shd w:val="clear" w:color="auto" w:fill="auto"/>
          </w:tcPr>
          <w:p w:rsidR="00A27401" w:rsidRPr="00AE2905" w:rsidRDefault="00A27401" w:rsidP="006A0FFB"/>
        </w:tc>
      </w:tr>
      <w:tr w:rsidR="00A27401" w:rsidRPr="00AE2905" w:rsidTr="006A0FFB">
        <w:tc>
          <w:tcPr>
            <w:tcW w:w="4950" w:type="dxa"/>
            <w:shd w:val="clear" w:color="auto" w:fill="auto"/>
          </w:tcPr>
          <w:p w:rsidR="00A27401" w:rsidRPr="00AE2905" w:rsidRDefault="00A27401" w:rsidP="006A0FFB">
            <w:pPr>
              <w:spacing w:before="0"/>
            </w:pPr>
            <w:r w:rsidRPr="00AE2905">
              <w:t>House/mobile home</w:t>
            </w:r>
          </w:p>
        </w:tc>
        <w:tc>
          <w:tcPr>
            <w:tcW w:w="1530" w:type="dxa"/>
            <w:shd w:val="clear" w:color="auto" w:fill="auto"/>
          </w:tcPr>
          <w:p w:rsidR="00A27401" w:rsidRPr="00AE2905" w:rsidRDefault="00A27401" w:rsidP="006A0FFB">
            <w:pPr>
              <w:spacing w:before="0"/>
            </w:pPr>
            <w:r w:rsidRPr="00AE2905">
              <w:t>62% for heat</w:t>
            </w:r>
          </w:p>
        </w:tc>
      </w:tr>
      <w:tr w:rsidR="00A27401" w:rsidRPr="00AE2905" w:rsidTr="006A0FFB">
        <w:tc>
          <w:tcPr>
            <w:tcW w:w="4950" w:type="dxa"/>
            <w:shd w:val="clear" w:color="auto" w:fill="auto"/>
          </w:tcPr>
          <w:p w:rsidR="00A27401" w:rsidRPr="00AE2905" w:rsidRDefault="00A27401" w:rsidP="006A0FFB">
            <w:pPr>
              <w:spacing w:before="0"/>
            </w:pPr>
            <w:r w:rsidRPr="00AE2905">
              <w:t xml:space="preserve">Townhouse / duplex / triplex / </w:t>
            </w:r>
            <w:proofErr w:type="spellStart"/>
            <w:r w:rsidRPr="00AE2905">
              <w:t>fourplex</w:t>
            </w:r>
            <w:proofErr w:type="spellEnd"/>
          </w:p>
        </w:tc>
        <w:tc>
          <w:tcPr>
            <w:tcW w:w="1530" w:type="dxa"/>
            <w:shd w:val="clear" w:color="auto" w:fill="auto"/>
          </w:tcPr>
          <w:p w:rsidR="00A27401" w:rsidRPr="00AE2905" w:rsidRDefault="00A27401" w:rsidP="006A0FFB">
            <w:pPr>
              <w:spacing w:before="0"/>
            </w:pPr>
            <w:r w:rsidRPr="00AE2905">
              <w:t>48% for heat</w:t>
            </w:r>
          </w:p>
        </w:tc>
      </w:tr>
      <w:tr w:rsidR="00A27401" w:rsidRPr="00AE2905" w:rsidTr="006A0FFB">
        <w:tc>
          <w:tcPr>
            <w:tcW w:w="4950" w:type="dxa"/>
            <w:shd w:val="clear" w:color="auto" w:fill="auto"/>
          </w:tcPr>
          <w:p w:rsidR="00A27401" w:rsidRPr="00AE2905" w:rsidRDefault="00A27401" w:rsidP="006A0FFB">
            <w:pPr>
              <w:spacing w:before="0"/>
            </w:pPr>
            <w:r w:rsidRPr="00AE2905">
              <w:t xml:space="preserve">Apartment, condominium, hotel, </w:t>
            </w:r>
            <w:r>
              <w:t>cabin, TINY HOME</w:t>
            </w:r>
          </w:p>
        </w:tc>
        <w:tc>
          <w:tcPr>
            <w:tcW w:w="1530" w:type="dxa"/>
            <w:shd w:val="clear" w:color="auto" w:fill="auto"/>
          </w:tcPr>
          <w:p w:rsidR="00A27401" w:rsidRPr="00AE2905" w:rsidRDefault="00A27401" w:rsidP="006A0FFB">
            <w:pPr>
              <w:spacing w:before="0"/>
            </w:pPr>
            <w:r w:rsidRPr="00AE2905">
              <w:t>43% for heat</w:t>
            </w:r>
          </w:p>
        </w:tc>
      </w:tr>
      <w:tr w:rsidR="00A27401" w:rsidRPr="00AE2905" w:rsidTr="006A0FFB">
        <w:tc>
          <w:tcPr>
            <w:tcW w:w="4950" w:type="dxa"/>
            <w:shd w:val="clear" w:color="auto" w:fill="auto"/>
          </w:tcPr>
          <w:p w:rsidR="00A27401" w:rsidRPr="00AE2905" w:rsidRDefault="00A27401" w:rsidP="006A0FFB">
            <w:pPr>
              <w:spacing w:before="0"/>
            </w:pPr>
            <w:r w:rsidRPr="00AE2905">
              <w:t>RV, 5th wheel, camper</w:t>
            </w:r>
          </w:p>
        </w:tc>
        <w:tc>
          <w:tcPr>
            <w:tcW w:w="1530" w:type="dxa"/>
            <w:shd w:val="clear" w:color="auto" w:fill="auto"/>
          </w:tcPr>
          <w:p w:rsidR="00A27401" w:rsidRPr="00AE2905" w:rsidRDefault="00A27401" w:rsidP="006A0FFB">
            <w:pPr>
              <w:spacing w:before="0"/>
            </w:pPr>
            <w:r w:rsidRPr="00AE2905">
              <w:t>50% for heat</w:t>
            </w:r>
          </w:p>
        </w:tc>
      </w:tr>
    </w:tbl>
    <w:p w:rsidR="00A27401" w:rsidRDefault="00A27401" w:rsidP="00A27401">
      <w:pPr>
        <w:pStyle w:val="upar1"/>
      </w:pPr>
      <w:r w:rsidRPr="00F67496">
        <w:rPr>
          <w:u w:val="single"/>
        </w:rPr>
        <w:t>Step D.</w:t>
      </w:r>
      <w:r>
        <w:t xml:space="preserve"> Adjustment for Shared Living Arrangements</w:t>
      </w:r>
    </w:p>
    <w:p w:rsidR="00A27401" w:rsidRDefault="00A27401" w:rsidP="00A27401">
      <w:pPr>
        <w:pStyle w:val="upar2"/>
      </w:pPr>
      <w:r>
        <w:t>The estimated home heating costs shall be adjusted if the household shares living arrangements with other households but is determined to be a separate household as defined in the “Definitions” section of these rules. If the household shares living arrangements with other households, the estimated home heating cost shall be divided by the number of separate households sharing the living arrangements, whether or not all households sharing the living arrangements are eligible for the Heating Fuel Assistance Program.</w:t>
      </w:r>
    </w:p>
    <w:p w:rsidR="00A27401" w:rsidRDefault="00A27401" w:rsidP="00A27401">
      <w:pPr>
        <w:pStyle w:val="upar1"/>
      </w:pPr>
      <w:r w:rsidRPr="00F67496">
        <w:rPr>
          <w:u w:val="single"/>
        </w:rPr>
        <w:t>Step E.</w:t>
      </w:r>
      <w:r>
        <w:t xml:space="preserve"> Adjustment for Subsidized Housing Home Heating Allowance</w:t>
      </w:r>
    </w:p>
    <w:p w:rsidR="00A27401" w:rsidRDefault="00A27401" w:rsidP="00A27401">
      <w:pPr>
        <w:pStyle w:val="upar2"/>
      </w:pPr>
      <w:r>
        <w:t>The State Department shall adjust the amount of estimated home heating cost remaining after Step B if the household resides in subsidized housing (as defined in the “Definitions” section of these rules). A flat rate rental cost allowance for heating ($30 per month or $180 per heating season) shall be deducted from the remaining amount of estimated home heating costs. If the household does not live in subsidized housing, the amount remaining after Step B shall be the estimated home heating cost.</w:t>
      </w:r>
    </w:p>
    <w:p w:rsidR="00A27401" w:rsidRDefault="00A27401" w:rsidP="00A27401">
      <w:pPr>
        <w:pStyle w:val="upar1"/>
      </w:pPr>
      <w:r w:rsidRPr="00F67496">
        <w:rPr>
          <w:u w:val="single"/>
        </w:rPr>
        <w:t>Step F.</w:t>
      </w:r>
      <w:r>
        <w:t xml:space="preserve"> Determine Heating Fuel Assistance Program Amount</w:t>
      </w:r>
    </w:p>
    <w:p w:rsidR="00484315" w:rsidRDefault="00A27401" w:rsidP="00A27401">
      <w:pPr>
        <w:pStyle w:val="upar2"/>
      </w:pPr>
      <w:r>
        <w:t xml:space="preserve">The State Department shall determine a benefit amount for each eligible household by subtracting the applicable adjustments listed above, in Steps B-E from the household’s estimated home heating costs (EHHC) determined in Step </w:t>
      </w:r>
      <w:proofErr w:type="gramStart"/>
      <w:r>
        <w:t>A</w:t>
      </w:r>
      <w:proofErr w:type="gramEnd"/>
      <w:r>
        <w:t>, 1-3. Any eligible household will receive at least the minimum, up to and including, the maximum benefit amount established by the Department for the LEAP program year.</w:t>
      </w:r>
      <w:r w:rsidR="000C43D4">
        <w:t xml:space="preserve">  </w:t>
      </w:r>
    </w:p>
    <w:p w:rsidR="00A27401" w:rsidRDefault="000C43D4" w:rsidP="00A27401">
      <w:pPr>
        <w:pStyle w:val="upar2"/>
      </w:pPr>
      <w:r w:rsidRPr="000C43D4">
        <w:t>For the 2018-19 heating season the minimum benefit for heating assistance is $250 and the maximum payment is $800.00</w:t>
      </w:r>
      <w:r w:rsidR="00484315">
        <w:t>.</w:t>
      </w:r>
      <w:r w:rsidRPr="000C43D4">
        <w:t xml:space="preserve">  </w:t>
      </w:r>
      <w:r w:rsidR="00627975">
        <w:t xml:space="preserve">Any LEAP benefit calculated that falls between the minimum payment and the maximum payment is awarded the amount of the </w:t>
      </w:r>
      <w:r w:rsidR="00577916">
        <w:t xml:space="preserve">benefit </w:t>
      </w:r>
      <w:r w:rsidR="00627975">
        <w:t>calculation.</w:t>
      </w:r>
    </w:p>
    <w:p w:rsidR="00AA47DB" w:rsidRPr="00F67496" w:rsidRDefault="00AA47DB" w:rsidP="00AA47DB">
      <w:pPr>
        <w:pStyle w:val="par1"/>
        <w:rPr>
          <w:b/>
          <w:bCs/>
        </w:rPr>
      </w:pPr>
      <w:r w:rsidRPr="00F67496">
        <w:rPr>
          <w:b/>
          <w:bCs/>
        </w:rPr>
        <w:t>3.758.48</w:t>
      </w:r>
      <w:r w:rsidRPr="00F67496">
        <w:rPr>
          <w:b/>
          <w:bCs/>
        </w:rPr>
        <w:tab/>
        <w:t xml:space="preserve">Adjustments [Rev. </w:t>
      </w:r>
      <w:proofErr w:type="gramStart"/>
      <w:r w:rsidRPr="00F67496">
        <w:rPr>
          <w:b/>
          <w:bCs/>
        </w:rPr>
        <w:t>eff</w:t>
      </w:r>
      <w:proofErr w:type="gramEnd"/>
      <w:r w:rsidRPr="00F67496">
        <w:rPr>
          <w:b/>
          <w:bCs/>
        </w:rPr>
        <w:t>. 9/1/11]</w:t>
      </w:r>
    </w:p>
    <w:p w:rsidR="00AA47DB" w:rsidRDefault="00AA47DB" w:rsidP="00AA47DB">
      <w:pPr>
        <w:pStyle w:val="upar1"/>
      </w:pPr>
      <w:r>
        <w:t>The State Department will provide the county departments advance written notice of any statewide benefit level adjustments.</w:t>
      </w:r>
    </w:p>
    <w:p w:rsidR="00AA47DB" w:rsidRDefault="00AA47DB" w:rsidP="00AA47DB">
      <w:pPr>
        <w:pStyle w:val="upar1"/>
      </w:pPr>
      <w:r>
        <w:lastRenderedPageBreak/>
        <w:t>Any statewide adjustment to the LEAP benefit level cannot be appealed.</w:t>
      </w:r>
    </w:p>
    <w:p w:rsidR="00AA47DB" w:rsidRDefault="00AA47DB" w:rsidP="00AA47DB">
      <w:pPr>
        <w:pStyle w:val="upar1"/>
      </w:pPr>
      <w:r>
        <w:t>The benefit amount in a prior LEAP program year is not indicative of a current LEAP program year benefit amount and benefit levels may vary from program year to program year depending on funding and the applicant pool.</w:t>
      </w:r>
    </w:p>
    <w:p w:rsidR="00092BCB" w:rsidRDefault="00092BCB"/>
    <w:sectPr w:rsidR="0009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01"/>
    <w:rsid w:val="00092BCB"/>
    <w:rsid w:val="000C43D4"/>
    <w:rsid w:val="00484315"/>
    <w:rsid w:val="00577916"/>
    <w:rsid w:val="00627975"/>
    <w:rsid w:val="009E651D"/>
    <w:rsid w:val="00A27401"/>
    <w:rsid w:val="00AA47DB"/>
    <w:rsid w:val="00D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BB6DC-8ACB-400D-B52A-C78284AE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01"/>
    <w:pPr>
      <w:spacing w:before="240"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A27401"/>
    <w:pPr>
      <w:tabs>
        <w:tab w:val="left" w:pos="720"/>
        <w:tab w:val="left" w:pos="1440"/>
        <w:tab w:val="left" w:pos="2160"/>
      </w:tabs>
      <w:ind w:left="720" w:hanging="720"/>
    </w:pPr>
    <w:rPr>
      <w:szCs w:val="24"/>
    </w:rPr>
  </w:style>
  <w:style w:type="paragraph" w:customStyle="1" w:styleId="par2">
    <w:name w:val="par2"/>
    <w:basedOn w:val="par1"/>
    <w:rsid w:val="00A27401"/>
    <w:pPr>
      <w:ind w:left="1440"/>
    </w:pPr>
  </w:style>
  <w:style w:type="paragraph" w:customStyle="1" w:styleId="upar2">
    <w:name w:val="upar2"/>
    <w:basedOn w:val="upar1"/>
    <w:rsid w:val="00A27401"/>
    <w:pPr>
      <w:ind w:left="720"/>
    </w:pPr>
    <w:rPr>
      <w:szCs w:val="24"/>
    </w:rPr>
  </w:style>
  <w:style w:type="paragraph" w:customStyle="1" w:styleId="upar1">
    <w:name w:val="upar1"/>
    <w:basedOn w:val="Normal"/>
    <w:rsid w:val="00A27401"/>
    <w:pPr>
      <w:tabs>
        <w:tab w:val="left" w:pos="720"/>
        <w:tab w:val="left" w:pos="1440"/>
      </w:tab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Kullen</dc:creator>
  <cp:lastModifiedBy>Marisa Larson</cp:lastModifiedBy>
  <cp:revision>2</cp:revision>
  <dcterms:created xsi:type="dcterms:W3CDTF">2018-09-28T22:25:00Z</dcterms:created>
  <dcterms:modified xsi:type="dcterms:W3CDTF">2018-09-28T22:25:00Z</dcterms:modified>
</cp:coreProperties>
</file>